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E9A" w:rsidRPr="009969FC" w:rsidRDefault="001B4E9A" w:rsidP="001B4E9A">
      <w:pPr>
        <w:jc w:val="center"/>
        <w:rPr>
          <w:rFonts w:ascii="Calibri" w:hAnsi="Calibri" w:cs="Calibri"/>
          <w:b/>
        </w:rPr>
      </w:pPr>
      <w:r w:rsidRPr="009969FC">
        <w:rPr>
          <w:rFonts w:ascii="Calibri" w:hAnsi="Calibri" w:cs="Calibri"/>
          <w:b/>
          <w:noProof/>
        </w:rPr>
        <w:drawing>
          <wp:inline distT="0" distB="0" distL="0" distR="0" wp14:anchorId="72ACB7FC" wp14:editId="671B4198">
            <wp:extent cx="1300480" cy="1300480"/>
            <wp:effectExtent l="0" t="0" r="0" b="0"/>
            <wp:docPr id="3" name="Рисунок 3" descr="Palata_logo_Color Итог 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ta_logo_Color Итог м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9FC">
        <w:rPr>
          <w:rFonts w:ascii="Calibri" w:hAnsi="Calibri" w:cs="Calibri"/>
          <w:b/>
        </w:rPr>
        <w:t xml:space="preserve"> </w:t>
      </w:r>
    </w:p>
    <w:p w:rsidR="001B4E9A" w:rsidRPr="009969FC" w:rsidRDefault="001B4E9A" w:rsidP="001B4E9A">
      <w:pPr>
        <w:jc w:val="center"/>
        <w:rPr>
          <w:rFonts w:ascii="Calibri" w:hAnsi="Calibri" w:cs="Calibri"/>
          <w:b/>
        </w:rPr>
      </w:pPr>
    </w:p>
    <w:p w:rsidR="001B4E9A" w:rsidRPr="009969FC" w:rsidRDefault="001B4E9A" w:rsidP="001B4E9A">
      <w:pPr>
        <w:jc w:val="center"/>
        <w:rPr>
          <w:rFonts w:ascii="Calibri" w:hAnsi="Calibri" w:cs="Calibri"/>
          <w:b/>
          <w:color w:val="FF0000"/>
        </w:rPr>
      </w:pPr>
      <w:r w:rsidRPr="009969FC">
        <w:rPr>
          <w:rFonts w:ascii="Calibri" w:hAnsi="Calibri" w:cs="Calibri"/>
          <w:b/>
          <w:color w:val="FF0000"/>
        </w:rPr>
        <w:t>ИНФОРМАЦИОННЫЙ ДАЙДЖЕСТ</w:t>
      </w:r>
    </w:p>
    <w:p w:rsidR="001B4E9A" w:rsidRPr="009969FC" w:rsidRDefault="001B4E9A" w:rsidP="001B4E9A">
      <w:pPr>
        <w:jc w:val="center"/>
        <w:rPr>
          <w:rFonts w:ascii="Calibri" w:hAnsi="Calibri" w:cs="Calibri"/>
          <w:b/>
          <w:color w:val="FF0000"/>
        </w:rPr>
      </w:pPr>
      <w:r w:rsidRPr="009969FC">
        <w:rPr>
          <w:rFonts w:ascii="Calibri" w:hAnsi="Calibri" w:cs="Calibri"/>
          <w:b/>
          <w:color w:val="FF0000"/>
        </w:rPr>
        <w:t xml:space="preserve">(период с </w:t>
      </w:r>
      <w:r>
        <w:rPr>
          <w:rFonts w:ascii="Calibri" w:hAnsi="Calibri" w:cs="Calibri"/>
          <w:b/>
          <w:color w:val="FF0000"/>
        </w:rPr>
        <w:t xml:space="preserve">5 по 11 </w:t>
      </w:r>
      <w:bookmarkStart w:id="0" w:name="_GoBack"/>
      <w:bookmarkEnd w:id="0"/>
      <w:r w:rsidRPr="009969FC">
        <w:rPr>
          <w:rFonts w:ascii="Calibri" w:hAnsi="Calibri" w:cs="Calibri"/>
          <w:b/>
          <w:color w:val="FF0000"/>
        </w:rPr>
        <w:t>октября 2026 года)</w:t>
      </w:r>
    </w:p>
    <w:p w:rsidR="001B4E9A" w:rsidRDefault="001B4E9A" w:rsidP="001B4E9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1B4E9A" w:rsidRDefault="001B4E9A" w:rsidP="001B4E9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DE296C" w:rsidRPr="001B4E9A" w:rsidRDefault="003C7048" w:rsidP="001B4E9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1B4E9A">
        <w:rPr>
          <w:rFonts w:ascii="Calibri" w:hAnsi="Calibri" w:cs="Calibri"/>
          <w:b/>
          <w:color w:val="FF0000"/>
          <w:sz w:val="24"/>
          <w:szCs w:val="24"/>
        </w:rPr>
        <w:t>ПРАВИТЕЛЬСТВО/ГД/СФ</w:t>
      </w:r>
    </w:p>
    <w:p w:rsidR="00DE296C" w:rsidRPr="001B4E9A" w:rsidRDefault="00DE296C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t>Комитет Госдумы РФ по охране здоровья одобрил изменения в схеме финансирования отрасли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Профильный комитет нижней палаты парламента одобрил изменения в схеме финансирования здравоохранения. Больше половины необходимых для функционирования средств отрасль будет получать теперь из Федерального фонда ОМС.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Комитет Госдумы РФ по охране здоровья поддержал проекты федерального бюджета на 2027–2029 годы и Федерального фонда ОМС (ФОМС). Власти декларируют рост </w:t>
      </w:r>
      <w:r w:rsidRPr="001B4E9A">
        <w:rPr>
          <w:rFonts w:ascii="Calibri" w:hAnsi="Calibri" w:cs="Calibri"/>
          <w:color w:val="3C3C3C"/>
          <w:sz w:val="24"/>
          <w:szCs w:val="24"/>
        </w:rPr>
        <w:t>расходов на здравоохранение в следующем году на 10%, до 8,9 трлн руб.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color w:val="3C3C3C"/>
          <w:sz w:val="24"/>
          <w:szCs w:val="24"/>
        </w:rPr>
        <w:t>Большую половину из этой суммы составят </w:t>
      </w:r>
      <w:hyperlink r:id="rId8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средства ФОМС</w:t>
        </w:r>
      </w:hyperlink>
      <w:r w:rsidRPr="001B4E9A">
        <w:rPr>
          <w:rFonts w:ascii="Calibri" w:hAnsi="Calibri" w:cs="Calibri"/>
          <w:color w:val="3C3C3C"/>
          <w:sz w:val="24"/>
          <w:szCs w:val="24"/>
        </w:rPr>
        <w:t> – 5,2 трлн руб. Это на 411,2 млрд руб., или на 8,6%, больше, чем в 2026 году. При этом в </w:t>
      </w:r>
      <w:r w:rsidRPr="001B4E9A">
        <w:rPr>
          <w:rFonts w:ascii="Calibri" w:hAnsi="Calibri" w:cs="Calibri"/>
          <w:sz w:val="24"/>
          <w:szCs w:val="24"/>
        </w:rPr>
        <w:t>проекте федерального бюджета на государственную программу «Развитие здравоохранения» в 2027 году запланировано на 134,5 млрд руб. меньше средств. А расходы на борьбу с онкозаболеваниями сокращены на 141 млрд руб., </w:t>
      </w:r>
      <w:hyperlink r:id="rId9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писал</w:t>
        </w:r>
      </w:hyperlink>
      <w:r w:rsidRPr="001B4E9A">
        <w:rPr>
          <w:rFonts w:ascii="Calibri" w:hAnsi="Calibri" w:cs="Calibri"/>
          <w:sz w:val="24"/>
          <w:szCs w:val="24"/>
        </w:rPr>
        <w:t> «МВ». В Минздраве РФ заверили, что </w:t>
      </w:r>
      <w:hyperlink r:id="rId10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сокращение объема средств</w:t>
        </w:r>
      </w:hyperlink>
      <w:r w:rsidRPr="001B4E9A">
        <w:rPr>
          <w:rFonts w:ascii="Calibri" w:hAnsi="Calibri" w:cs="Calibri"/>
          <w:sz w:val="24"/>
          <w:szCs w:val="24"/>
        </w:rPr>
        <w:t> в федеральном проекте «Борьба с онкологическими заболеваниями» не уменьшится, так как выпадающие расходы будут возмещать из федеральных и региональных бюджетов и ФОМС.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«Нам разъяснили: рост поступлений страховых взносов на ОМС и накопленные средства ФОМС позволяют финансировать эту помощь без дополнительного трансферта», – </w:t>
      </w:r>
      <w:hyperlink r:id="rId11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сообщил</w:t>
        </w:r>
      </w:hyperlink>
      <w:r w:rsidRPr="001B4E9A">
        <w:rPr>
          <w:rFonts w:ascii="Calibri" w:hAnsi="Calibri" w:cs="Calibri"/>
          <w:sz w:val="24"/>
          <w:szCs w:val="24"/>
        </w:rPr>
        <w:t> член Комитета Госдумы РФ по охране здоровья </w:t>
      </w:r>
      <w:hyperlink r:id="rId12" w:history="1">
        <w:r w:rsidRPr="001B4E9A">
          <w:rPr>
            <w:rStyle w:val="a3"/>
            <w:rFonts w:ascii="Calibri" w:hAnsi="Calibri" w:cs="Calibri"/>
            <w:sz w:val="24"/>
            <w:szCs w:val="24"/>
          </w:rPr>
          <w:t>Бадма Башанкаев</w:t>
        </w:r>
      </w:hyperlink>
      <w:r w:rsidRPr="001B4E9A">
        <w:rPr>
          <w:rFonts w:ascii="Calibri" w:hAnsi="Calibri" w:cs="Calibri"/>
          <w:sz w:val="24"/>
          <w:szCs w:val="24"/>
        </w:rPr>
        <w:t>. 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 xml:space="preserve">По его данным, в проекте бюджета ФОМС на 2027 год запланировано выделение средств для регионов в объеме 4 трлн 376,9 млрд руб., на 9,6% больше по сравнению с текущими субвенциями. Федеральным медицинским организациям (ФМО) на специализированную, в том числе высокотехнологичную, помощь в рамках базовой программы ОМС </w:t>
      </w:r>
      <w:r w:rsidRPr="001B4E9A">
        <w:rPr>
          <w:rFonts w:ascii="Calibri" w:hAnsi="Calibri" w:cs="Calibri"/>
          <w:sz w:val="24"/>
          <w:szCs w:val="24"/>
        </w:rPr>
        <w:lastRenderedPageBreak/>
        <w:t>предусмотрено 378,9 млрд руб. (также + 9,6%). Объем медпомощи в дневном стационаре планируется увеличить на 10%, в круглосуточном – на 5%.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Общий объем доходов </w:t>
      </w:r>
      <w:hyperlink r:id="rId13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федерального бюджета</w:t>
        </w:r>
      </w:hyperlink>
      <w:r w:rsidRPr="001B4E9A">
        <w:rPr>
          <w:rFonts w:ascii="Calibri" w:hAnsi="Calibri" w:cs="Calibri"/>
          <w:sz w:val="24"/>
          <w:szCs w:val="24"/>
        </w:rPr>
        <w:t> на 2027 год прогнозируется на уровне 43,3 трлн руб. с последующим увеличением почти до 48,4 трлн руб. к 2029 году.</w:t>
      </w:r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 июле стало известно, что Минфин РФ </w:t>
      </w:r>
      <w:hyperlink r:id="rId14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сократил объем финансирования</w:t>
        </w:r>
      </w:hyperlink>
      <w:r w:rsidRPr="001B4E9A">
        <w:rPr>
          <w:rFonts w:ascii="Calibri" w:hAnsi="Calibri" w:cs="Calibri"/>
          <w:sz w:val="24"/>
          <w:szCs w:val="24"/>
        </w:rPr>
        <w:t> нацпроекта «Продолжительная и активная жизнь» в 2026 году до 180,97 млрд руб. против 366,7 млрд руб. в 2025 году (-51%). На реализацию федерального проекта «Борьба с онкологическими заболеваниями» направят примерно на 70% меньше средств. Отвечая на беспокойство пациентских организаций, </w:t>
      </w:r>
      <w:hyperlink r:id="rId15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</w:rPr>
          <w:t>в ведомстве заявили</w:t>
        </w:r>
      </w:hyperlink>
      <w:r w:rsidRPr="001B4E9A">
        <w:rPr>
          <w:rFonts w:ascii="Calibri" w:hAnsi="Calibri" w:cs="Calibri"/>
          <w:sz w:val="24"/>
          <w:szCs w:val="24"/>
        </w:rPr>
        <w:t>, что недостающие средства планируется компенсировать за счет бюджета ФОМС, писал «МВ».</w:t>
      </w:r>
    </w:p>
    <w:p w:rsidR="00DE296C" w:rsidRPr="001B4E9A" w:rsidRDefault="00A07DDD" w:rsidP="001B4E9A">
      <w:pPr>
        <w:jc w:val="both"/>
        <w:rPr>
          <w:rFonts w:ascii="Calibri" w:hAnsi="Calibri" w:cs="Calibri"/>
          <w:sz w:val="24"/>
          <w:szCs w:val="24"/>
        </w:rPr>
      </w:pPr>
      <w:hyperlink r:id="rId16" w:history="1">
        <w:r w:rsidR="00DE296C" w:rsidRPr="001B4E9A">
          <w:rPr>
            <w:rStyle w:val="a3"/>
            <w:rFonts w:ascii="Calibri" w:hAnsi="Calibri" w:cs="Calibri"/>
            <w:sz w:val="24"/>
            <w:szCs w:val="24"/>
          </w:rPr>
          <w:t>https://medvestnik.ru/content/news/komitet-gosdumy-rf-po-ohrane-zdorovya-odobril-izmeneniya-v-sheme-finansirovaniya-otrasli.html?utm_source=yxnews&amp;utm_medium=desktop&amp;utm_referrer=https%3A%2F%2Fdzen.ru%2Fnews%2Fsearch</w:t>
        </w:r>
      </w:hyperlink>
    </w:p>
    <w:p w:rsidR="003C7048" w:rsidRPr="001B4E9A" w:rsidRDefault="003C7048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t>В ГД заявили о росте финансирования лечения онкозаболеваний в 2027 году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Объем помощи в дневном стационаре планируется увеличить на 10%, в круглосуточном - на 5%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МОСКВА, 9 октября. /ТАСС/. Финансирование лечения онкозаболеваний в России в 2027 году не снизится, а, напротив, увеличится. Об этом ТАСС заявил депутат думской фракции "Единая Россия" Бадма Башанкаев по итогам заседания профильного комитета палаты.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Ранее в СМИ появились публикации о том, что финансирование лечения онкозаболеваний якобы планируется сократить. Со своей стороны пресс-служба Минздрава заявила, что проект бюджета гарантирует рост объемов финансирования медпомощи по ОМС опережающими инфляцию темпами, в том числе по профилю "Онкология".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"Мы получили исчерпывающий ответ от Минздрава, от Минфина, от руководства Федерального фонда обязательного медицинского страхования, что снижения помощи не будет, будет рост, - сказал Башанкаев. - Онкологическая помощь будет финансироваться в рамках базовой программы ОМС без отдельного трансферта из федерального бюджета, который ранее составлял 140 млрд рублей ежегодно. Это обеспечивается ростом поступлений страховых взносов на ОМС и накопленными средствами фонда".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По его словам, объем помощи в дневном стационаре планируется увеличить на 10%, в круглосуточном - на 5%. "А это больше людей, получающих самую современную терапию в нашей стране", - отметил парламентарий.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Субвенции регионам, продолжил Башанкаев, на реализацию базовой программы ОМС в 2027 году вырастут на 9,6% по сравнению с 2026 годом и составят 4 трлн 376,9 млрд рублей. "Это на 64,4 млрд рублей больше ранее утвержденного плана на 2027 год", - подчеркнул депутат.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lastRenderedPageBreak/>
        <w:t>"Финансирование федеральных медицинских организаций на оказание специализированной, в том числе высокотехнологичной, помощи в рамках базовой программы ОМС также увеличится на 9,6%, до 378,9 млрд рублей. Эти средства направят на лечение пациентов со сложными и тяжелыми заболеваниями независимо от места их проживания", - сказал он, отметив, что общие расходы ФОМС в 2027 году составят 5,205 трлн рублей - на 411,2 млрд рублей (8,6%) больше, чем в 2026 году.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Парламентарий напомнил о приоритетах народной программы "Единой России" в сфере вакцинации и профилактики нарушений липидного обмена. Он отметил включение исследования липопротеина (а) в программу государственных гарантий бесплатного оказания медицинской помощи и его значение для выявления наследственных нарушений липидного обмена.</w:t>
      </w:r>
    </w:p>
    <w:p w:rsidR="003C7048" w:rsidRPr="001B4E9A" w:rsidRDefault="003C7048" w:rsidP="001B4E9A">
      <w:pPr>
        <w:jc w:val="both"/>
        <w:rPr>
          <w:rFonts w:ascii="Calibri" w:hAnsi="Calibri" w:cs="Calibri"/>
          <w:sz w:val="24"/>
          <w:szCs w:val="24"/>
        </w:rPr>
      </w:pPr>
      <w:hyperlink r:id="rId17" w:history="1">
        <w:r w:rsidRPr="001B4E9A">
          <w:rPr>
            <w:rStyle w:val="a3"/>
            <w:rFonts w:ascii="Calibri" w:hAnsi="Calibri" w:cs="Calibri"/>
            <w:sz w:val="24"/>
            <w:szCs w:val="24"/>
          </w:rPr>
          <w:t>https://tass.ru/ekonomika/28199331</w:t>
        </w:r>
      </w:hyperlink>
    </w:p>
    <w:p w:rsidR="00DE296C" w:rsidRPr="001B4E9A" w:rsidRDefault="00DE296C" w:rsidP="001B4E9A">
      <w:pPr>
        <w:jc w:val="both"/>
        <w:rPr>
          <w:rFonts w:ascii="Calibri" w:hAnsi="Calibri" w:cs="Calibri"/>
          <w:sz w:val="24"/>
          <w:szCs w:val="24"/>
        </w:rPr>
      </w:pPr>
    </w:p>
    <w:p w:rsidR="003C7048" w:rsidRPr="001B4E9A" w:rsidRDefault="003C7048" w:rsidP="001B4E9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1B4E9A">
        <w:rPr>
          <w:rFonts w:ascii="Calibri" w:hAnsi="Calibri" w:cs="Calibri"/>
          <w:b/>
          <w:color w:val="FF0000"/>
          <w:sz w:val="24"/>
          <w:szCs w:val="24"/>
        </w:rPr>
        <w:t>МИНЗДРАВ/ФОМС</w:t>
      </w:r>
    </w:p>
    <w:p w:rsidR="00D94B76" w:rsidRPr="001B4E9A" w:rsidRDefault="00D94B76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t>Михаил Мурашко рассказал о решении проблемы «бумажной нагрузки» на медработников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Опрошенные медработники отмечают снижение бумажной нагрузки. Это результат внедрения современных информационных технологий, считают в Минздраве РФ.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1B4E9A">
        <w:rPr>
          <w:rFonts w:ascii="Calibri" w:hAnsi="Calibri" w:cs="Calibri"/>
          <w:sz w:val="24"/>
          <w:szCs w:val="24"/>
          <w:shd w:val="clear" w:color="auto" w:fill="FFFFFF"/>
        </w:rPr>
        <w:t>Проблема избыточной бумажной нагрузки на медицинских работников практически решена — по данным последних опросов, о ней сообщали только 10% респондентов, заявил министр здравоохранения РФ </w:t>
      </w:r>
      <w:hyperlink r:id="rId18" w:history="1">
        <w:r w:rsidRPr="001B4E9A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>Михаил Мурашко</w:t>
        </w:r>
      </w:hyperlink>
      <w:r w:rsidRPr="001B4E9A">
        <w:rPr>
          <w:rFonts w:ascii="Calibri" w:hAnsi="Calibri" w:cs="Calibri"/>
          <w:sz w:val="24"/>
          <w:szCs w:val="24"/>
          <w:shd w:val="clear" w:color="auto" w:fill="FFFFFF"/>
        </w:rPr>
        <w:t> на заседании Комитета Госдумы РФ по охране здоровья 9 октября, передает корреспондент «МВ».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1B4E9A">
        <w:rPr>
          <w:rFonts w:ascii="Calibri" w:hAnsi="Calibri" w:cs="Calibri"/>
          <w:sz w:val="24"/>
          <w:szCs w:val="24"/>
          <w:shd w:val="clear" w:color="auto" w:fill="FFFFFF"/>
        </w:rPr>
        <w:t>«Развитие современных информационных технологий дает уже результат. Мы сейчас проводили определенное анкетирование и смотрели динамику по снижению такой административной нагрузки на медицинских работников. Эта динамика очень ярко выражена. Там в пределах 10% уже только отмечают. То есть почти 90% уже сегодня не чувствуют этой нагрузки», — отметил министр.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1B4E9A">
        <w:rPr>
          <w:rFonts w:ascii="Calibri" w:hAnsi="Calibri" w:cs="Calibri"/>
          <w:sz w:val="24"/>
          <w:szCs w:val="24"/>
          <w:shd w:val="clear" w:color="auto" w:fill="FFFFFF"/>
        </w:rPr>
        <w:t>Он добавил, что Федеральный фонд ОМС продолжит выделять средства на развитие информационных систем и цифровых сервисов в прежнем объеме. В этом году на эти цели предназначалось 10 млрд руб. Но «чтобы четко работать полностью в безбумажном документообороте субъекты должны еще финансировать инфраструктуру, обновлять ее, во всяком случае расширять, поскольку сегодня вычислительные мощности растут», — подчеркнул </w:t>
      </w:r>
      <w:hyperlink r:id="rId19" w:history="1">
        <w:r w:rsidRPr="001B4E9A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  <w:shd w:val="clear" w:color="auto" w:fill="FFFFFF"/>
          </w:rPr>
          <w:t>Михаил Мурашко</w:t>
        </w:r>
      </w:hyperlink>
      <w:r w:rsidRPr="001B4E9A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1B4E9A">
        <w:rPr>
          <w:rFonts w:ascii="Calibri" w:hAnsi="Calibri" w:cs="Calibri"/>
          <w:sz w:val="24"/>
          <w:szCs w:val="24"/>
          <w:shd w:val="clear" w:color="auto" w:fill="FFFFFF"/>
        </w:rPr>
        <w:t>В мае депутаты Госдумы РФ </w:t>
      </w:r>
      <w:hyperlink r:id="rId20" w:history="1">
        <w:r w:rsidRPr="001B4E9A">
          <w:rPr>
            <w:rStyle w:val="a3"/>
            <w:rFonts w:ascii="Calibri" w:hAnsi="Calibri" w:cs="Calibri"/>
            <w:color w:val="E1442F"/>
            <w:sz w:val="24"/>
            <w:szCs w:val="24"/>
            <w:shd w:val="clear" w:color="auto" w:fill="FFFFFF"/>
          </w:rPr>
          <w:t>попросили</w:t>
        </w:r>
      </w:hyperlink>
      <w:r w:rsidRPr="001B4E9A">
        <w:rPr>
          <w:rFonts w:ascii="Calibri" w:hAnsi="Calibri" w:cs="Calibri"/>
          <w:sz w:val="24"/>
          <w:szCs w:val="24"/>
          <w:shd w:val="clear" w:color="auto" w:fill="FFFFFF"/>
        </w:rPr>
        <w:t xml:space="preserve"> Минздрав РФ о проведении «регуляторной гильотины» для отказа от избыточных медицинских документов, чтобы разгрузить врачей и средний медперсонал, указывая, что огромный массив данных уже дублируется в </w:t>
      </w:r>
      <w:r w:rsidRPr="001B4E9A">
        <w:rPr>
          <w:rFonts w:ascii="Calibri" w:hAnsi="Calibri" w:cs="Calibri"/>
          <w:sz w:val="24"/>
          <w:szCs w:val="24"/>
          <w:shd w:val="clear" w:color="auto" w:fill="FFFFFF"/>
        </w:rPr>
        <w:lastRenderedPageBreak/>
        <w:t>электронном виде. Основной посыл реформ: «цифра» должна помогать, а не усложнять работу врача.</w:t>
      </w:r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1B4E9A">
        <w:rPr>
          <w:rFonts w:ascii="Calibri" w:hAnsi="Calibri" w:cs="Calibri"/>
          <w:sz w:val="24"/>
          <w:szCs w:val="24"/>
          <w:shd w:val="clear" w:color="auto" w:fill="FFFFFF"/>
        </w:rPr>
        <w:t>Ранее президент РФ </w:t>
      </w:r>
      <w:r w:rsidRPr="001B4E9A">
        <w:rPr>
          <w:rStyle w:val="a7"/>
          <w:rFonts w:ascii="Calibri" w:hAnsi="Calibri" w:cs="Calibri"/>
          <w:color w:val="1A1B1D"/>
          <w:sz w:val="24"/>
          <w:szCs w:val="24"/>
          <w:shd w:val="clear" w:color="auto" w:fill="FFFFFF"/>
        </w:rPr>
        <w:t>Владимир Путин</w:t>
      </w:r>
      <w:r w:rsidRPr="001B4E9A">
        <w:rPr>
          <w:rFonts w:ascii="Calibri" w:hAnsi="Calibri" w:cs="Calibri"/>
          <w:sz w:val="24"/>
          <w:szCs w:val="24"/>
          <w:shd w:val="clear" w:color="auto" w:fill="FFFFFF"/>
        </w:rPr>
        <w:t> </w:t>
      </w:r>
      <w:hyperlink r:id="rId21" w:history="1">
        <w:r w:rsidRPr="001B4E9A">
          <w:rPr>
            <w:rStyle w:val="a3"/>
            <w:rFonts w:ascii="Calibri" w:hAnsi="Calibri" w:cs="Calibri"/>
            <w:color w:val="E12006"/>
            <w:sz w:val="24"/>
            <w:szCs w:val="24"/>
            <w:shd w:val="clear" w:color="auto" w:fill="FFFFFF"/>
          </w:rPr>
          <w:t>поручил обеспечить</w:t>
        </w:r>
      </w:hyperlink>
      <w:r w:rsidRPr="001B4E9A">
        <w:rPr>
          <w:rFonts w:ascii="Calibri" w:hAnsi="Calibri" w:cs="Calibri"/>
          <w:sz w:val="24"/>
          <w:szCs w:val="24"/>
          <w:shd w:val="clear" w:color="auto" w:fill="FFFFFF"/>
        </w:rPr>
        <w:t> до 1 августа 2026 года снижение бюрократической нагрузки на врачей и учителей. Ответственным за эти сферы министерствам предстоит оптимизировать отчетность и другую документацию, чтобы врачи и учителя могли уделять больше времени пациентам, ученикам, студентам. В Госдуме РФ отмечали, что среднестатистический врач заполняет до 167 разных форм и отчетов, при этом многие из них дублируют друг друга.</w:t>
      </w:r>
    </w:p>
    <w:p w:rsidR="00D94B76" w:rsidRPr="001B4E9A" w:rsidRDefault="00A07DDD" w:rsidP="001B4E9A">
      <w:pPr>
        <w:jc w:val="both"/>
        <w:rPr>
          <w:rFonts w:ascii="Calibri" w:hAnsi="Calibri" w:cs="Calibri"/>
          <w:sz w:val="24"/>
          <w:szCs w:val="24"/>
        </w:rPr>
      </w:pPr>
      <w:hyperlink r:id="rId22" w:history="1">
        <w:r w:rsidR="00D94B76" w:rsidRPr="001B4E9A">
          <w:rPr>
            <w:rStyle w:val="a3"/>
            <w:rFonts w:ascii="Calibri" w:hAnsi="Calibri" w:cs="Calibri"/>
            <w:sz w:val="24"/>
            <w:szCs w:val="24"/>
          </w:rPr>
          <w:t>https://medvestnik.ru/content/news/mihail-murashko-rasskazal-o-reshenii-problemy-bumajnoi-nagruzki-na-medrabotnikov.html</w:t>
        </w:r>
      </w:hyperlink>
    </w:p>
    <w:p w:rsidR="00D94B76" w:rsidRPr="001B4E9A" w:rsidRDefault="00D94B76" w:rsidP="001B4E9A">
      <w:pPr>
        <w:jc w:val="both"/>
        <w:rPr>
          <w:rFonts w:ascii="Calibri" w:hAnsi="Calibri" w:cs="Calibri"/>
          <w:sz w:val="24"/>
          <w:szCs w:val="24"/>
        </w:rPr>
      </w:pPr>
    </w:p>
    <w:p w:rsidR="00FE705E" w:rsidRPr="001B4E9A" w:rsidRDefault="00FE705E" w:rsidP="001B4E9A">
      <w:pPr>
        <w:jc w:val="both"/>
        <w:rPr>
          <w:rFonts w:ascii="Calibri" w:hAnsi="Calibri" w:cs="Calibri"/>
          <w:sz w:val="24"/>
          <w:szCs w:val="24"/>
        </w:rPr>
      </w:pPr>
    </w:p>
    <w:p w:rsidR="00FE705E" w:rsidRPr="001B4E9A" w:rsidRDefault="00FE705E" w:rsidP="001B4E9A">
      <w:pPr>
        <w:jc w:val="both"/>
        <w:rPr>
          <w:rFonts w:ascii="Calibri" w:hAnsi="Calibri" w:cs="Calibri"/>
          <w:sz w:val="24"/>
          <w:szCs w:val="24"/>
        </w:rPr>
      </w:pPr>
    </w:p>
    <w:p w:rsidR="00C17B55" w:rsidRPr="001B4E9A" w:rsidRDefault="00C17B55" w:rsidP="001B4E9A">
      <w:pPr>
        <w:pStyle w:val="1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1B4E9A">
        <w:rPr>
          <w:rFonts w:ascii="Calibri" w:eastAsiaTheme="minorHAnsi" w:hAnsi="Calibri" w:cs="Calibri"/>
          <w:bCs w:val="0"/>
          <w:color w:val="auto"/>
          <w:sz w:val="24"/>
          <w:szCs w:val="24"/>
        </w:rPr>
        <w:t>Михаил Мурашко сообщил о закреплении положительной динамики по преодолению кадрового дефицита</w:t>
      </w:r>
    </w:p>
    <w:p w:rsidR="00C17B55" w:rsidRPr="001B4E9A" w:rsidRDefault="00C17B55" w:rsidP="001B4E9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1B4E9A">
        <w:rPr>
          <w:rFonts w:ascii="Calibri" w:eastAsia="Times New Roman" w:hAnsi="Calibri" w:cs="Calibri"/>
          <w:sz w:val="24"/>
          <w:szCs w:val="24"/>
          <w:lang w:eastAsia="ru-RU"/>
        </w:rPr>
        <w:t>Минздрав РФ отчитался о положительной динамике по преодолению кадрового дефицита. В регионах активно идет зачисление специалистов в штат медорганизаций, сообщил глава ведомства Михаил Мурашко. </w:t>
      </w:r>
    </w:p>
    <w:p w:rsidR="00EF0052" w:rsidRPr="001B4E9A" w:rsidRDefault="00EF0052" w:rsidP="001B4E9A">
      <w:pPr>
        <w:pStyle w:val="a6"/>
        <w:jc w:val="both"/>
        <w:rPr>
          <w:rFonts w:ascii="Calibri" w:hAnsi="Calibri" w:cs="Calibri"/>
        </w:rPr>
      </w:pPr>
      <w:r w:rsidRPr="001B4E9A">
        <w:rPr>
          <w:rFonts w:ascii="Calibri" w:hAnsi="Calibri" w:cs="Calibri"/>
        </w:rPr>
        <w:t xml:space="preserve">Минздрав РФ ожидает сохранения положительной динамики по улучшению кадровой обеспеченности отрасли по итогам 2026 года после вступления в силу закона об обязательном наставничестве окончивших медицинские колледжи и вузы, сообщил глава ведомства </w:t>
      </w:r>
      <w:hyperlink r:id="rId23" w:history="1">
        <w:r w:rsidRPr="001B4E9A">
          <w:rPr>
            <w:rStyle w:val="a3"/>
            <w:rFonts w:ascii="Calibri" w:hAnsi="Calibri" w:cs="Calibri"/>
            <w:b/>
            <w:bCs/>
          </w:rPr>
          <w:t>Михаил Мурашко</w:t>
        </w:r>
      </w:hyperlink>
      <w:r w:rsidRPr="001B4E9A">
        <w:rPr>
          <w:rFonts w:ascii="Calibri" w:hAnsi="Calibri" w:cs="Calibri"/>
        </w:rPr>
        <w:t xml:space="preserve"> на заседании Комитета Госдумы РФ по охране здоровья 9 октября. Текущих цифр он не привел, передает корреспондент «МВ».</w:t>
      </w:r>
    </w:p>
    <w:p w:rsidR="00EF0052" w:rsidRPr="001B4E9A" w:rsidRDefault="00EF0052" w:rsidP="001B4E9A">
      <w:pPr>
        <w:pStyle w:val="a6"/>
        <w:jc w:val="both"/>
        <w:rPr>
          <w:rFonts w:ascii="Calibri" w:hAnsi="Calibri" w:cs="Calibri"/>
        </w:rPr>
      </w:pPr>
      <w:r w:rsidRPr="001B4E9A">
        <w:rPr>
          <w:rFonts w:ascii="Calibri" w:hAnsi="Calibri" w:cs="Calibri"/>
        </w:rPr>
        <w:t xml:space="preserve">По данным министра, за 2022—2026 годы в отрасль пришло дополнительно 24 тыс. врачей. В этом году также прогнозируется приток. В регионах активно идет зачисление специалистов в штат медорганизаций, отметил </w:t>
      </w:r>
      <w:hyperlink r:id="rId24" w:history="1">
        <w:r w:rsidRPr="001B4E9A">
          <w:rPr>
            <w:rStyle w:val="a3"/>
            <w:rFonts w:ascii="Calibri" w:hAnsi="Calibri" w:cs="Calibri"/>
          </w:rPr>
          <w:t>Михаил Мурашко</w:t>
        </w:r>
      </w:hyperlink>
      <w:r w:rsidRPr="001B4E9A">
        <w:rPr>
          <w:rFonts w:ascii="Calibri" w:hAnsi="Calibri" w:cs="Calibri"/>
        </w:rPr>
        <w:t>. </w:t>
      </w:r>
    </w:p>
    <w:p w:rsidR="00EF0052" w:rsidRPr="001B4E9A" w:rsidRDefault="00EF0052" w:rsidP="001B4E9A">
      <w:pPr>
        <w:jc w:val="both"/>
        <w:rPr>
          <w:rFonts w:ascii="Calibri" w:hAnsi="Calibri" w:cs="Calibri"/>
          <w:sz w:val="24"/>
          <w:szCs w:val="24"/>
        </w:rPr>
      </w:pPr>
      <w:hyperlink r:id="rId25" w:history="1">
        <w:r w:rsidRPr="001B4E9A">
          <w:rPr>
            <w:rStyle w:val="a3"/>
            <w:rFonts w:ascii="Calibri" w:hAnsi="Calibri" w:cs="Calibri"/>
            <w:sz w:val="24"/>
            <w:szCs w:val="24"/>
          </w:rPr>
          <w:t>По данным</w:t>
        </w:r>
      </w:hyperlink>
      <w:r w:rsidRPr="001B4E9A">
        <w:rPr>
          <w:rFonts w:ascii="Calibri" w:hAnsi="Calibri" w:cs="Calibri"/>
          <w:sz w:val="24"/>
          <w:szCs w:val="24"/>
        </w:rPr>
        <w:t xml:space="preserve"> статистического сборника «Образование в цифрах: 2026» в прошлом году выпуск специалистов с высшим медицинским образованием составил 51,1 тыс., со средним — до 128,7 тыс. В 2024 году — 49 тыс. и 99,6 тыс. соответственно. Общее число окончивших программы ординатуры в вузах выросло в 2025 году с 31,6 тыс. до 32,3 тыс. Но показатели выпуска по наиболее востребованным врачебным профилям, таким как терапия, анестезиология-реаниматология и неврология, остались на уровне предыдущего года или даже незначительно снизились.</w:t>
      </w:r>
    </w:p>
    <w:p w:rsidR="00EF0052" w:rsidRPr="001B4E9A" w:rsidRDefault="00EF0052" w:rsidP="001B4E9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1B4E9A">
        <w:rPr>
          <w:rFonts w:ascii="Calibri" w:eastAsia="Times New Roman" w:hAnsi="Calibri" w:cs="Calibri"/>
          <w:sz w:val="24"/>
          <w:szCs w:val="24"/>
          <w:lang w:eastAsia="ru-RU"/>
        </w:rPr>
        <w:t>https://medvestnik.ru/content/news/mihail-murashko-soobshil-o-zakreplenii-polojitelnoi-dinamiki-po-preodoleniu-kadrovogo-deficita.html</w:t>
      </w:r>
    </w:p>
    <w:p w:rsidR="003E0DB5" w:rsidRPr="001B4E9A" w:rsidRDefault="003E0DB5" w:rsidP="001B4E9A">
      <w:pPr>
        <w:jc w:val="both"/>
        <w:rPr>
          <w:rFonts w:ascii="Calibri" w:hAnsi="Calibri" w:cs="Calibri"/>
          <w:sz w:val="24"/>
          <w:szCs w:val="24"/>
        </w:rPr>
      </w:pPr>
    </w:p>
    <w:p w:rsidR="002123A2" w:rsidRPr="001B4E9A" w:rsidRDefault="002123A2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lastRenderedPageBreak/>
        <w:t>В Минздраве РФ рассказали о проблемах с исполнением клинрекомендаций 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Выполняемость критериев качества по клиническим рекомендациям в амбулаторной гинекологии остается на уровне 60—67%, а в неонатологических стационарах — менее половины. Эксперты призвали чаще проводить дистанционные консультации с ведущими центрами.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Выполняемость критериев качества по клиническим рекомендациям (КР) по гинекологии в амбулаторных условиях растет из года в год, однако остается на уровне 60—67%. Также более половины стационаров не используют разработанные клинические рекомендации по неонатологии, рассказали эксперты на XXVII форуме «Мать и дитя», передает корреспондент «МВ».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 акушерстве и гинекологии, по данным 2026 года, хуже всего исполняются КР по воспалительным заболеваниям тазовых органов (19%), аномальным маточным кровотечениям (30%), при синдроме поликистозных яичников (43%), вульварных интраэпителиальных неоплазиях (45%) и цервикальной интраэпителиальной неоплазии, эрозиии и эктропионе шейки матки (62%).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Несмотря на положительную динамику, уровень следования рекомендациям недостаточен, признала главный внештатный специалист по репродуктивному здоровью женщин Минздрава РФ, профессор </w:t>
      </w:r>
      <w:r w:rsidRPr="001B4E9A">
        <w:rPr>
          <w:rStyle w:val="a7"/>
          <w:rFonts w:ascii="Calibri" w:hAnsi="Calibri" w:cs="Calibri"/>
          <w:color w:val="1A1B1D"/>
          <w:sz w:val="24"/>
          <w:szCs w:val="24"/>
        </w:rPr>
        <w:t>Наталия Долгушина.</w:t>
      </w:r>
      <w:r w:rsidRPr="001B4E9A">
        <w:rPr>
          <w:rFonts w:ascii="Calibri" w:hAnsi="Calibri" w:cs="Calibri"/>
          <w:sz w:val="24"/>
          <w:szCs w:val="24"/>
        </w:rPr>
        <w:t> Она подчеркнула, что контроль за исполнением КР — задача главных внештатных специалистов.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Специалисты Минздрава РФ во время выездов отмечают резервы снижения смертности от синдрома дыхательных расстройств. Отчасти ситуация связана с неисполнением клинических рекомендаций. В прошлом году было создано около 40 клинических рекомендаций по неонатологии. Проекты рекомендаций были размещены на сайтах обществ специалистов перинатальной медицины и неонатологов, и специалисты могли ознакомиться с ними, внести замечания и предложения. Но более половины стационаров пока не используют их в работе, рассказал ректор Санкт-Петербургского государственного педиатрического медицинского университета, главный неонатолог Минздрава РФ, профессор </w:t>
      </w:r>
      <w:r w:rsidRPr="001B4E9A">
        <w:rPr>
          <w:rStyle w:val="a7"/>
          <w:rFonts w:ascii="Calibri" w:hAnsi="Calibri" w:cs="Calibri"/>
          <w:color w:val="1A1B1D"/>
          <w:sz w:val="24"/>
          <w:szCs w:val="24"/>
        </w:rPr>
        <w:t>Дмитрий Иванов. 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Быстрое выявление дыхательных и других расстройств у новорожденных в соответствии с клиническими рекомендациями позволяет своевременно определить необходимость транспортировки матери и ребенка в медицинскую организацию третьего уровня. В идеале маршрутизацию следует проводить еще до рождения ребенка, </w:t>
      </w:r>
      <w:r w:rsidRPr="001B4E9A">
        <w:rPr>
          <w:rStyle w:val="ac"/>
          <w:rFonts w:ascii="Calibri" w:hAnsi="Calibri" w:cs="Calibri"/>
          <w:color w:val="1A1B1D"/>
          <w:sz w:val="24"/>
          <w:szCs w:val="24"/>
        </w:rPr>
        <w:t>in utero</w:t>
      </w:r>
      <w:r w:rsidRPr="001B4E9A">
        <w:rPr>
          <w:rFonts w:ascii="Calibri" w:hAnsi="Calibri" w:cs="Calibri"/>
          <w:sz w:val="24"/>
          <w:szCs w:val="24"/>
        </w:rPr>
        <w:t>. Это важно в том числе потому, что межгоспитальная транспортировка новорожденных связана с повышением в 2,5 раза риска кровоизлияния в мозг.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КР могут не выполняться только по решению консилиума, подчеркнул Дмитрий Иванов. Возможны дистанционные консультации с привлечением ведущих центров в области неонатологии. «Клиническая рекомендация — это наша некая защита юридическая, это разделение ответственности», — пояснил эксперт.</w:t>
      </w:r>
    </w:p>
    <w:p w:rsidR="002123A2" w:rsidRPr="001B4E9A" w:rsidRDefault="00A07DDD" w:rsidP="001B4E9A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26" w:history="1">
        <w:r w:rsidR="002123A2" w:rsidRPr="001B4E9A">
          <w:rPr>
            <w:rStyle w:val="a3"/>
            <w:rFonts w:ascii="Calibri" w:hAnsi="Calibri" w:cs="Calibri"/>
            <w:sz w:val="24"/>
            <w:szCs w:val="24"/>
          </w:rPr>
          <w:t>https://medvestnik.ru/content/news/v-minzdrave-rf-rasskazalai-o-problemah-s-ispolneniem-klinrekomendacii.html?utm_source=yxnews&amp;utm_medium=desktop&amp;utm_referrer=https%3A%2F%2Fdzen.ru%2Fnews%2Fsearch</w:t>
        </w:r>
      </w:hyperlink>
    </w:p>
    <w:p w:rsidR="00553965" w:rsidRPr="001B4E9A" w:rsidRDefault="00553965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t>ФОМС раскрыл свежие данные о субъектах-аутсайдерах по онконастороженности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Федеральный фонд ОМС раскрыл статистику о регионах с минимальным уровнем онкологической настороженности в первичном звене. За восемь месяцев 2026 года в пяти субъектах РФ вообще не диагностировали онкологические заболевания в рамках диспансеризации. Еще в ряде субъектов частота их выявления снизилась на 27—69%.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 январе — августе 2026 года в пяти регионах в рамках диспансеризации не диагностировались случаи онкологических заболеваний. Еще в 13 субъектах РФ частота выявления онкологической патологии не превышала 30% от плана, установленного Федеральным фондом ОМС (ФОМС), следует из презентации заместителя ФОМС </w:t>
      </w:r>
      <w:r w:rsidRPr="001B4E9A">
        <w:rPr>
          <w:rFonts w:ascii="Calibri" w:hAnsi="Calibri" w:cs="Calibri"/>
          <w:b/>
          <w:bCs/>
          <w:sz w:val="24"/>
          <w:szCs w:val="24"/>
        </w:rPr>
        <w:t>Ольги Царевой</w:t>
      </w:r>
      <w:r w:rsidRPr="001B4E9A">
        <w:rPr>
          <w:rFonts w:ascii="Calibri" w:hAnsi="Calibri" w:cs="Calibri"/>
          <w:sz w:val="24"/>
          <w:szCs w:val="24"/>
        </w:rPr>
        <w:t> (есть в распоряжении «МВ»).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Информация была представлена на стратегической сессии для страховых компаний, которую ФОМС проводил 5—6 октября. На мероприятии обсуждались вопросы качества и доступности медицинской помощи и планы по совершенствованию работы страховщиков, сообщил «МВ» один из принимавших участие в мероприятии представителей рынка.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Среди субъектов РФ с нулевым уровнем выявления онкологической патологии в презентации указаны Чукотский автономный округ, Донецкая и Луганская Народные республики, Запорожская и Херсонская области. Еще в 13 регионах эти показатели не достигали 30% от плана. В этом списке есть Хабаровский край, Республика Татарстан, Псковская область, Ямало-Ненецкий автономный округ, Калмыкия, Забайкальский край, республики Северная Осетия — Алания, Чечня и Коми, Челябинская, Калининградская, Ульяновская и Томская области. При этом в ряде регионов, по данным за 8 месяцев 2026 года, снижение частоты выявления злокачественных новообразований составляет от 27 до 69%.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Источник: презентация Ольги Царевой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Уровня онконастороженности более 80% от запланированного достигли 28 субъектов. Среди них Карелия, Дагестан, Кабардино-Балкарская Республика, Чувашия, Мордовия, Иркутская, Калужская и Кировская области. Столичные регионы находятся в середине рейтинга. В Москве показатель выявления онкопатологий составлял 50% от плана, в Московской области — 68,6%, в Санкт-Петербурге — 54,4%, в Ленинградской области — 70%.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Общее прогнозное число впервые выявленных случаев злокачественных новообразований на 2026 год – 66,1 тыс. За восемь месяцев выявлено пока 25,7 тыс. случаев (58,3%). «Следует усилить контроль, в том числе за эффективностью проведения профилактических осмотров и диспансеризации, в части повышения онконастороженности медицинских работников на всех этапах диспансеризации», — сделала вывод Ольга Царева.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lastRenderedPageBreak/>
        <w:t>Всего ФОМС запланировал потратить на стимулирующие выплаты врачам за выявление онкологических заболеваний в ходе проведения диспансеризации и профилактических медицинских осмотров в текущем году 121,3 млн руб. Для сравнения: в 2025 году на эти цели регионами </w:t>
      </w:r>
      <w:hyperlink r:id="rId27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было использовано</w:t>
        </w:r>
      </w:hyperlink>
      <w:r w:rsidRPr="001B4E9A">
        <w:rPr>
          <w:rFonts w:ascii="Calibri" w:hAnsi="Calibri" w:cs="Calibri"/>
          <w:sz w:val="24"/>
          <w:szCs w:val="24"/>
        </w:rPr>
        <w:t> 86,94 млн руб., или 77% объема выделенных средств (112,9 млн руб.).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Увеличение продолжительности жизни россиян приведет к повышению распространенности рака. По некоторым экспертным оценкам, показатель может вырасти на 50% в ближайшие 20—30 лет. Это будет связано с увеличением продолжительности жизни, </w:t>
      </w:r>
      <w:hyperlink r:id="rId28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заявил</w:t>
        </w:r>
      </w:hyperlink>
      <w:r w:rsidRPr="001B4E9A">
        <w:rPr>
          <w:rFonts w:ascii="Calibri" w:hAnsi="Calibri" w:cs="Calibri"/>
          <w:sz w:val="24"/>
          <w:szCs w:val="24"/>
        </w:rPr>
        <w:t> недавно министр здравоохранения РФ </w:t>
      </w:r>
      <w:r w:rsidRPr="001B4E9A">
        <w:rPr>
          <w:rFonts w:ascii="Calibri" w:hAnsi="Calibri" w:cs="Calibri"/>
          <w:b/>
          <w:bCs/>
          <w:sz w:val="24"/>
          <w:szCs w:val="24"/>
        </w:rPr>
        <w:t>Михаил Мурашко</w:t>
      </w:r>
      <w:r w:rsidRPr="001B4E9A">
        <w:rPr>
          <w:rFonts w:ascii="Calibri" w:hAnsi="Calibri" w:cs="Calibri"/>
          <w:sz w:val="24"/>
          <w:szCs w:val="24"/>
        </w:rPr>
        <w:t>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 прошлом году страховщики сообщали о </w:t>
      </w:r>
      <w:hyperlink r:id="rId29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тенденции</w:t>
        </w:r>
      </w:hyperlink>
      <w:r w:rsidRPr="001B4E9A">
        <w:rPr>
          <w:rFonts w:ascii="Calibri" w:hAnsi="Calibri" w:cs="Calibri"/>
          <w:sz w:val="24"/>
          <w:szCs w:val="24"/>
        </w:rPr>
        <w:t> к росту числа случаев диагностики онкологического заболевания, когда процесс постановки диагноза занимает больше года. Полученные данные могут быть интерпретированы как следствие недостаточной онконастороженности врачей первичного звена и заставляют задуматься о необходимости изменения подходов к организации и учету ключевых этапов диагностики рака на этом уровне. Хотя </w:t>
      </w:r>
      <w:hyperlink r:id="rId30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реальный уровень онкологической настороженности</w:t>
        </w:r>
      </w:hyperlink>
      <w:r w:rsidRPr="001B4E9A">
        <w:rPr>
          <w:rFonts w:ascii="Calibri" w:hAnsi="Calibri" w:cs="Calibri"/>
          <w:sz w:val="24"/>
          <w:szCs w:val="24"/>
        </w:rPr>
        <w:t> врачей первичного звена в регионах в последние годы растет, но его значение по-прежнему далеко от «идеального», считают в страховой индустрии.</w:t>
      </w:r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hyperlink r:id="rId31" w:history="1">
        <w:r w:rsidRPr="001B4E9A">
          <w:rPr>
            <w:rStyle w:val="a3"/>
            <w:rFonts w:ascii="Calibri" w:hAnsi="Calibri" w:cs="Calibri"/>
            <w:sz w:val="24"/>
            <w:szCs w:val="24"/>
          </w:rPr>
          <w:t>https://dzen.ru/a/asYdTs4BhR87SJ1N</w:t>
        </w:r>
      </w:hyperlink>
    </w:p>
    <w:p w:rsidR="00553965" w:rsidRPr="001B4E9A" w:rsidRDefault="00553965" w:rsidP="001B4E9A">
      <w:pPr>
        <w:jc w:val="both"/>
        <w:rPr>
          <w:rFonts w:ascii="Calibri" w:hAnsi="Calibri" w:cs="Calibri"/>
          <w:sz w:val="24"/>
          <w:szCs w:val="24"/>
        </w:rPr>
      </w:pPr>
      <w:hyperlink r:id="rId32" w:history="1">
        <w:r w:rsidRPr="001B4E9A">
          <w:rPr>
            <w:rStyle w:val="a3"/>
            <w:rFonts w:ascii="Calibri" w:hAnsi="Calibri" w:cs="Calibri"/>
            <w:sz w:val="24"/>
            <w:szCs w:val="24"/>
          </w:rPr>
          <w:t>https://medvestnik.ru/content/news/foms-raskryl-svejie-dannye-o-subektah-autsaiderah-po-onkonastorojennosti.html?utm_source=yxnews&amp;utm_medium=desktop&amp;utm_referrer=https%3A%2F%2Fdzen.ru%2Fnews%2Fsearch</w:t>
        </w:r>
      </w:hyperlink>
    </w:p>
    <w:p w:rsidR="002123A2" w:rsidRPr="001B4E9A" w:rsidRDefault="00435516" w:rsidP="001B4E9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1B4E9A">
        <w:rPr>
          <w:rFonts w:ascii="Calibri" w:hAnsi="Calibri" w:cs="Calibri"/>
          <w:b/>
          <w:color w:val="FF0000"/>
          <w:sz w:val="24"/>
          <w:szCs w:val="24"/>
        </w:rPr>
        <w:t>РАЗНОЕ</w:t>
      </w:r>
    </w:p>
    <w:p w:rsidR="002123A2" w:rsidRPr="001B4E9A" w:rsidRDefault="002123A2" w:rsidP="001B4E9A">
      <w:pPr>
        <w:jc w:val="both"/>
        <w:rPr>
          <w:rFonts w:ascii="Calibri" w:hAnsi="Calibri" w:cs="Calibri"/>
          <w:b/>
          <w:sz w:val="24"/>
          <w:szCs w:val="24"/>
        </w:rPr>
      </w:pPr>
      <w:r w:rsidRPr="001B4E9A">
        <w:rPr>
          <w:rFonts w:ascii="Calibri" w:hAnsi="Calibri" w:cs="Calibri"/>
          <w:b/>
          <w:sz w:val="24"/>
          <w:szCs w:val="24"/>
        </w:rPr>
        <w:t>Профсоюз сообщил о 88%-ном охвате медорганизаций системой наставничества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Минздрав РФ совместно с профильным профсоюзом активизировал работу в регионах по разъяснению требований закона о наставничестве. Ставится задача сделать эту практику доступной выпускникам по всей стране.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Программой наставничества охвачены 88% обследованных медорганизаций. Более 27 тыс. из 30,5 тыс. трудоустроенных в 2026 году выпускников, учтенных мониторингом, уже имеют наставников, сообщили в Профсоюзе работников здравоохранения РФ.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По данным организации, в 58 регионах, включенных в мониторинг, положения о наставничестве закреплены в отраслевых соглашениях. Минздрав РФ совместно с профсоюзом проводит встречи в регионах, чтобы разъяснять новые требования и отвечать на вопросы медицинских работников и руководителей учреждений.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На этой неделе такие встречи прошли в Благовещенске и Хабаровске. Как подчеркнул директор Департамента медицинского образования и кадровой политики в здравоохранении Минздрава РФ </w:t>
      </w:r>
      <w:r w:rsidRPr="001B4E9A">
        <w:rPr>
          <w:rFonts w:ascii="Calibri" w:hAnsi="Calibri" w:cs="Calibri"/>
          <w:b/>
          <w:bCs/>
          <w:sz w:val="24"/>
          <w:szCs w:val="24"/>
        </w:rPr>
        <w:t>Артем Наркевич</w:t>
      </w:r>
      <w:r w:rsidRPr="001B4E9A">
        <w:rPr>
          <w:rFonts w:ascii="Calibri" w:hAnsi="Calibri" w:cs="Calibri"/>
          <w:sz w:val="24"/>
          <w:szCs w:val="24"/>
        </w:rPr>
        <w:t xml:space="preserve">, наставничество существовало в </w:t>
      </w:r>
      <w:r w:rsidRPr="001B4E9A">
        <w:rPr>
          <w:rFonts w:ascii="Calibri" w:hAnsi="Calibri" w:cs="Calibri"/>
          <w:sz w:val="24"/>
          <w:szCs w:val="24"/>
        </w:rPr>
        <w:lastRenderedPageBreak/>
        <w:t>медицине всегда. Новое законодательство призвано сделать эту практику доступной выпускникам по всей стране, а не только в отдельных медицинских организациях.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Но, по его словам, «представления о наставничестве у всех разные». Поэтому федеральные документы устанавливают лишь необходимые условия, оставляя медорганизациям возможность самостоятельно выстраивать работу в этой области.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За наставничество врачам в регионах платят от 5 тыс. до 10 тыс. руб. в месяц, </w:t>
      </w:r>
      <w:hyperlink r:id="rId33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сообщил</w:t>
        </w:r>
      </w:hyperlink>
      <w:r w:rsidRPr="001B4E9A">
        <w:rPr>
          <w:rFonts w:ascii="Calibri" w:hAnsi="Calibri" w:cs="Calibri"/>
          <w:sz w:val="24"/>
          <w:szCs w:val="24"/>
        </w:rPr>
        <w:t> недавно председатель Профсоюза работников здравоохранения РФ </w:t>
      </w:r>
      <w:hyperlink r:id="rId34" w:tgtFrame="_blank" w:history="1">
        <w:r w:rsidRPr="001B4E9A">
          <w:rPr>
            <w:rStyle w:val="a3"/>
            <w:rFonts w:ascii="Calibri" w:hAnsi="Calibri" w:cs="Calibri"/>
            <w:b/>
            <w:bCs/>
            <w:sz w:val="24"/>
            <w:szCs w:val="24"/>
          </w:rPr>
          <w:t>Анатолий Домников</w:t>
        </w:r>
      </w:hyperlink>
      <w:r w:rsidRPr="001B4E9A">
        <w:rPr>
          <w:rFonts w:ascii="Calibri" w:hAnsi="Calibri" w:cs="Calibri"/>
          <w:sz w:val="24"/>
          <w:szCs w:val="24"/>
        </w:rPr>
        <w:t>. Зачастую медорганизации прописывают оплату наставничества в локальных нормативных актах. При этом сумма выплат заметно различается в зависимости от субъекта. Иногда эта разница достигает трех-четырех раз.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Накануне Минздрав РФ и Федеральный фонд ОМС (ФОМС) </w:t>
      </w:r>
      <w:hyperlink r:id="rId35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разъяснили</w:t>
        </w:r>
      </w:hyperlink>
      <w:r w:rsidRPr="001B4E9A">
        <w:rPr>
          <w:rFonts w:ascii="Calibri" w:hAnsi="Calibri" w:cs="Calibri"/>
          <w:sz w:val="24"/>
          <w:szCs w:val="24"/>
        </w:rPr>
        <w:t> медорганизациям порядок использования средств ОМС для выплаты стимулирующих надбавок наставникам молодых специалистов в здравоохранении, писал «МВ». Ранее ведомство </w:t>
      </w:r>
      <w:hyperlink r:id="rId36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распространило методичку</w:t>
        </w:r>
      </w:hyperlink>
      <w:r w:rsidRPr="001B4E9A">
        <w:rPr>
          <w:rFonts w:ascii="Calibri" w:hAnsi="Calibri" w:cs="Calibri"/>
          <w:sz w:val="24"/>
          <w:szCs w:val="24"/>
        </w:rPr>
        <w:t> с вопросами и ответами о наставничестве.</w:t>
      </w:r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  <w:r w:rsidRPr="001B4E9A">
        <w:rPr>
          <w:rFonts w:ascii="Calibri" w:hAnsi="Calibri" w:cs="Calibri"/>
          <w:sz w:val="24"/>
          <w:szCs w:val="24"/>
        </w:rPr>
        <w:t>В июне президент РФ </w:t>
      </w:r>
      <w:r w:rsidRPr="001B4E9A">
        <w:rPr>
          <w:rFonts w:ascii="Calibri" w:hAnsi="Calibri" w:cs="Calibri"/>
          <w:b/>
          <w:bCs/>
          <w:sz w:val="24"/>
          <w:szCs w:val="24"/>
        </w:rPr>
        <w:t>Владимир Путин</w:t>
      </w:r>
      <w:r w:rsidRPr="001B4E9A">
        <w:rPr>
          <w:rFonts w:ascii="Calibri" w:hAnsi="Calibri" w:cs="Calibri"/>
          <w:sz w:val="24"/>
          <w:szCs w:val="24"/>
        </w:rPr>
        <w:t> </w:t>
      </w:r>
      <w:hyperlink r:id="rId37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заявил</w:t>
        </w:r>
      </w:hyperlink>
      <w:r w:rsidRPr="001B4E9A">
        <w:rPr>
          <w:rFonts w:ascii="Calibri" w:hAnsi="Calibri" w:cs="Calibri"/>
          <w:sz w:val="24"/>
          <w:szCs w:val="24"/>
        </w:rPr>
        <w:t>, что практика наставничества для выпускников медицинских колледжей и вузов не должна становиться формальностью и приводить к перегрузкам врачей, которые берут на себя дополнительные обязанности курировать молодых специалистов. Он попросил Народный фронт совместно с Нацмедпалатой организовать мониторинг реализации программы на местах. В том, как медорганизации правильно организовать наставничество молодых специалистов, «МВ» разбирался </w:t>
      </w:r>
      <w:hyperlink r:id="rId38" w:tgtFrame="_blank" w:history="1">
        <w:r w:rsidRPr="001B4E9A">
          <w:rPr>
            <w:rStyle w:val="a3"/>
            <w:rFonts w:ascii="Calibri" w:hAnsi="Calibri" w:cs="Calibri"/>
            <w:sz w:val="24"/>
            <w:szCs w:val="24"/>
          </w:rPr>
          <w:t>здесь</w:t>
        </w:r>
      </w:hyperlink>
      <w:r w:rsidRPr="001B4E9A">
        <w:rPr>
          <w:rFonts w:ascii="Calibri" w:hAnsi="Calibri" w:cs="Calibri"/>
          <w:sz w:val="24"/>
          <w:szCs w:val="24"/>
        </w:rPr>
        <w:t>.</w:t>
      </w:r>
    </w:p>
    <w:p w:rsidR="002123A2" w:rsidRPr="001B4E9A" w:rsidRDefault="00A07DDD" w:rsidP="001B4E9A">
      <w:pPr>
        <w:jc w:val="both"/>
        <w:rPr>
          <w:rFonts w:ascii="Calibri" w:hAnsi="Calibri" w:cs="Calibri"/>
          <w:sz w:val="24"/>
          <w:szCs w:val="24"/>
        </w:rPr>
      </w:pPr>
      <w:hyperlink r:id="rId39" w:history="1">
        <w:r w:rsidR="002123A2" w:rsidRPr="001B4E9A">
          <w:rPr>
            <w:rStyle w:val="a3"/>
            <w:rFonts w:ascii="Calibri" w:hAnsi="Calibri" w:cs="Calibri"/>
            <w:sz w:val="24"/>
            <w:szCs w:val="24"/>
          </w:rPr>
          <w:t>https://dzen.ru/a/asoVBYwtABJA6qkr</w:t>
        </w:r>
      </w:hyperlink>
    </w:p>
    <w:p w:rsidR="002123A2" w:rsidRPr="001B4E9A" w:rsidRDefault="002123A2" w:rsidP="001B4E9A">
      <w:pPr>
        <w:jc w:val="both"/>
        <w:rPr>
          <w:rFonts w:ascii="Calibri" w:hAnsi="Calibri" w:cs="Calibri"/>
          <w:sz w:val="24"/>
          <w:szCs w:val="24"/>
        </w:rPr>
      </w:pPr>
    </w:p>
    <w:p w:rsidR="00070CE7" w:rsidRPr="001B4E9A" w:rsidRDefault="00070CE7" w:rsidP="001B4E9A">
      <w:pPr>
        <w:jc w:val="both"/>
        <w:rPr>
          <w:rFonts w:ascii="Calibri" w:hAnsi="Calibri" w:cs="Calibri"/>
          <w:sz w:val="24"/>
          <w:szCs w:val="24"/>
        </w:rPr>
      </w:pPr>
    </w:p>
    <w:sectPr w:rsidR="00070CE7" w:rsidRPr="001B4E9A" w:rsidSect="0063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742" w:rsidRDefault="00B05742" w:rsidP="00D94B76">
      <w:pPr>
        <w:spacing w:after="0" w:line="240" w:lineRule="auto"/>
      </w:pPr>
      <w:r>
        <w:separator/>
      </w:r>
    </w:p>
  </w:endnote>
  <w:endnote w:type="continuationSeparator" w:id="0">
    <w:p w:rsidR="00B05742" w:rsidRDefault="00B05742" w:rsidP="00D9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742" w:rsidRDefault="00B05742" w:rsidP="00D94B76">
      <w:pPr>
        <w:spacing w:after="0" w:line="240" w:lineRule="auto"/>
      </w:pPr>
      <w:r>
        <w:separator/>
      </w:r>
    </w:p>
  </w:footnote>
  <w:footnote w:type="continuationSeparator" w:id="0">
    <w:p w:rsidR="00B05742" w:rsidRDefault="00B05742" w:rsidP="00D94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AD2FBC"/>
    <w:multiLevelType w:val="multilevel"/>
    <w:tmpl w:val="FC9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163736"/>
    <w:multiLevelType w:val="hybridMultilevel"/>
    <w:tmpl w:val="BC5A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6C"/>
    <w:rsid w:val="00041E56"/>
    <w:rsid w:val="00070CE7"/>
    <w:rsid w:val="0010440A"/>
    <w:rsid w:val="001B4E9A"/>
    <w:rsid w:val="002123A2"/>
    <w:rsid w:val="0031031F"/>
    <w:rsid w:val="00341BF2"/>
    <w:rsid w:val="003C7048"/>
    <w:rsid w:val="003E0DB5"/>
    <w:rsid w:val="003F65D7"/>
    <w:rsid w:val="00435516"/>
    <w:rsid w:val="00506BAF"/>
    <w:rsid w:val="00553965"/>
    <w:rsid w:val="00570B7C"/>
    <w:rsid w:val="005F113C"/>
    <w:rsid w:val="0063467E"/>
    <w:rsid w:val="0063778A"/>
    <w:rsid w:val="0067598F"/>
    <w:rsid w:val="0088343B"/>
    <w:rsid w:val="00A07DDD"/>
    <w:rsid w:val="00B05742"/>
    <w:rsid w:val="00B05EE3"/>
    <w:rsid w:val="00B10292"/>
    <w:rsid w:val="00B87595"/>
    <w:rsid w:val="00C17B55"/>
    <w:rsid w:val="00C41914"/>
    <w:rsid w:val="00D47C06"/>
    <w:rsid w:val="00D94B76"/>
    <w:rsid w:val="00DE296C"/>
    <w:rsid w:val="00E151F2"/>
    <w:rsid w:val="00E74F48"/>
    <w:rsid w:val="00EA3FAD"/>
    <w:rsid w:val="00EF0052"/>
    <w:rsid w:val="00FC4296"/>
    <w:rsid w:val="00FE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FDF6"/>
  <w15:docId w15:val="{808788B8-9F7E-C84C-88AB-3B36985F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78A"/>
  </w:style>
  <w:style w:type="paragraph" w:styleId="1">
    <w:name w:val="heading 1"/>
    <w:basedOn w:val="a"/>
    <w:next w:val="a"/>
    <w:link w:val="10"/>
    <w:uiPriority w:val="9"/>
    <w:qFormat/>
    <w:rsid w:val="00DE2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">
    <w:name w:val="text"/>
    <w:basedOn w:val="a0"/>
    <w:rsid w:val="00DE296C"/>
  </w:style>
  <w:style w:type="character" w:styleId="a3">
    <w:name w:val="Hyperlink"/>
    <w:basedOn w:val="a0"/>
    <w:uiPriority w:val="99"/>
    <w:unhideWhenUsed/>
    <w:rsid w:val="00DE296C"/>
    <w:rPr>
      <w:color w:val="0000FF"/>
      <w:u w:val="single"/>
    </w:rPr>
  </w:style>
  <w:style w:type="character" w:customStyle="1" w:styleId="name">
    <w:name w:val="name"/>
    <w:basedOn w:val="a0"/>
    <w:rsid w:val="00DE296C"/>
  </w:style>
  <w:style w:type="character" w:customStyle="1" w:styleId="surname">
    <w:name w:val="surname"/>
    <w:basedOn w:val="a0"/>
    <w:rsid w:val="00DE296C"/>
  </w:style>
  <w:style w:type="paragraph" w:styleId="a4">
    <w:name w:val="Balloon Text"/>
    <w:basedOn w:val="a"/>
    <w:link w:val="a5"/>
    <w:uiPriority w:val="99"/>
    <w:semiHidden/>
    <w:unhideWhenUsed/>
    <w:rsid w:val="00DE2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96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E2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E296C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D9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94B76"/>
  </w:style>
  <w:style w:type="paragraph" w:styleId="aa">
    <w:name w:val="footer"/>
    <w:basedOn w:val="a"/>
    <w:link w:val="ab"/>
    <w:uiPriority w:val="99"/>
    <w:semiHidden/>
    <w:unhideWhenUsed/>
    <w:rsid w:val="00D9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4B76"/>
  </w:style>
  <w:style w:type="paragraph" w:customStyle="1" w:styleId="paragraphparagraph2ficb">
    <w:name w:val="paragraph_paragraph__2ficb"/>
    <w:basedOn w:val="a"/>
    <w:rsid w:val="003E0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FC4296"/>
    <w:rPr>
      <w:i/>
      <w:iCs/>
    </w:rPr>
  </w:style>
  <w:style w:type="paragraph" w:styleId="ad">
    <w:name w:val="List Paragraph"/>
    <w:basedOn w:val="a"/>
    <w:uiPriority w:val="34"/>
    <w:qFormat/>
    <w:rsid w:val="00570B7C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21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6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08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4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5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7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4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0828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52026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2476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4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7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2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25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84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8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3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0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7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2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6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0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1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4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9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2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3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9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34174">
              <w:marLeft w:val="0"/>
              <w:marRight w:val="0"/>
              <w:marTop w:val="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4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7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75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1342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single" w:sz="4" w:space="6" w:color="DEDEDE"/>
                                <w:left w:val="single" w:sz="4" w:space="6" w:color="DEDEDE"/>
                                <w:bottom w:val="single" w:sz="4" w:space="6" w:color="DEDEDE"/>
                                <w:right w:val="single" w:sz="4" w:space="6" w:color="DEDED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5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54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dvestnik.ru/content/news/na-programmu-razvitie-zdravoohraneniya-vydelyat-iz-budjeta-v-blijaishie-pyat-let-9-trln-rublei.html" TargetMode="External"/><Relationship Id="rId18" Type="http://schemas.openxmlformats.org/officeDocument/2006/relationships/hyperlink" Target="https://medvestnik.ru/directory/persons/Murashko-Mihail-Albertovich.html" TargetMode="External"/><Relationship Id="rId26" Type="http://schemas.openxmlformats.org/officeDocument/2006/relationships/hyperlink" Target="https://medvestnik.ru/content/news/v-minzdrave-rf-rasskazalai-o-problemah-s-ispolneniem-klinrekomendacii.html?utm_source=yxnews&amp;utm_medium=desktop&amp;utm_referrer=https%3A%2F%2Fdzen.ru%2Fnews%2Fsearch" TargetMode="External"/><Relationship Id="rId39" Type="http://schemas.openxmlformats.org/officeDocument/2006/relationships/hyperlink" Target="https://dzen.ru/a/asoVBYwtABJA6qkr" TargetMode="External"/><Relationship Id="rId21" Type="http://schemas.openxmlformats.org/officeDocument/2006/relationships/hyperlink" Target="https://medvestnik.ru/content/news/vladimir-putin-poruchil-kabminu-snijenie-bumajnoi-nagruzki-na-medrabotnikov.html" TargetMode="External"/><Relationship Id="rId34" Type="http://schemas.openxmlformats.org/officeDocument/2006/relationships/hyperlink" Target="https://dzen.ru/away?to=https%3A%2F%2Fmedvestnik.ru%2Fcontent%2Fnews%2Fprofsouz-soobshil-o-88-nom-ohvate-medorganizacii-sistemoi-nastavnichestva.html%2Fdirectory%2Fpersons%2FDomnikov-Anatolii-Ivanovich.html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medvestnik.ru/content/news/komitet-gosdumy-rf-po-ohrane-zdorovya-odobril-izmeneniya-v-sheme-finansirovaniya-otrasli.html?utm_source=yxnews&amp;utm_medium=desktop&amp;utm_referrer=https%3A%2F%2Fdzen.ru%2Fnews%2Fsearch" TargetMode="External"/><Relationship Id="rId20" Type="http://schemas.openxmlformats.org/officeDocument/2006/relationships/hyperlink" Target="https://medvestnik.ru/content/news/v-gosdume-rf-zayavili-o-neobhodimosti-regulyatornoi-gilotiny-dlya-medicinskih-dokumentov.html" TargetMode="External"/><Relationship Id="rId29" Type="http://schemas.openxmlformats.org/officeDocument/2006/relationships/hyperlink" Target="https://dzen.ru/away?to=https%3A%2F%2Fmedvestnik.ru%2Fcontent%2Fnews%2Ffoms-raskryl-svejie-dannye-o-subektah-autsaiderah-po-onkonastorojennosti.html%2Fcontent%2Fnews%2FStrahovshiki-soobshili-o-dvukratnom-roste-sluchaev-dlitelnoi-diagnostiki-onkozabolevanii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Bashankaev/12742" TargetMode="External"/><Relationship Id="rId24" Type="http://schemas.openxmlformats.org/officeDocument/2006/relationships/hyperlink" Target="https://medvestnik.ru/directory/persons/Murashko-Mihail-Albertovich.html" TargetMode="External"/><Relationship Id="rId32" Type="http://schemas.openxmlformats.org/officeDocument/2006/relationships/hyperlink" Target="https://medvestnik.ru/content/news/foms-raskryl-svejie-dannye-o-subektah-autsaiderah-po-onkonastorojennosti.html?utm_source=yxnews&amp;utm_medium=desktop&amp;utm_referrer=https%3A%2F%2Fdzen.ru%2Fnews%2Fsearch" TargetMode="External"/><Relationship Id="rId37" Type="http://schemas.openxmlformats.org/officeDocument/2006/relationships/hyperlink" Target="https://dzen.ru/away?to=https%3A%2F%2Fmedvestnik.ru%2Fcontent%2Fnews%2Fprofsouz-soobshil-o-88-nom-ohvate-medorganizacii-sistemoi-nastavnichestva.html%2Fcontent%2Fnews%2Fvladimir-putin-prizval-ne-peregrujat-vrachei-nastavnikov.html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medvestnik.ru/content/news/minfin-rf-ne-uvidel-riskov-snijeniya-dostupnosti-onkopomoshi-posle-sokrasheniya-rashodov-na-fedproekt.html" TargetMode="External"/><Relationship Id="rId23" Type="http://schemas.openxmlformats.org/officeDocument/2006/relationships/hyperlink" Target="https://medvestnik.ru/directory/persons/Murashko-Mihail-Albertovich.html" TargetMode="External"/><Relationship Id="rId28" Type="http://schemas.openxmlformats.org/officeDocument/2006/relationships/hyperlink" Target="https://dzen.ru/away?to=https%3A%2F%2Fmedvestnik.ru%2Fcontent%2Fnews%2Ffoms-raskryl-svejie-dannye-o-subektah-autsaiderah-po-onkonastorojennosti.html%2Fcontent%2Fnews%2Fmihail-murashko-soobshil-o-vozmojnom-povyshenii-rasprostranennosti-raka-u-rossiyan-v-1-5-raza.html" TargetMode="External"/><Relationship Id="rId36" Type="http://schemas.openxmlformats.org/officeDocument/2006/relationships/hyperlink" Target="https://dzen.ru/away?to=https%3A%2F%2Fmedvestnik.ru%2Fcontent%2Fnews%2Fprofsouz-soobshil-o-88-nom-ohvate-medorganizacii-sistemoi-nastavnichestva.html%2Fcontent%2Fnews%2Fminzdrav-rf-rasprostranil-metodichku-s-voprosami-i-otvetami-o-nastavnichestve.html" TargetMode="External"/><Relationship Id="rId10" Type="http://schemas.openxmlformats.org/officeDocument/2006/relationships/hyperlink" Target="https://medvestnik.ru/content/news/federalnyi-budjet-vydelit-na-zdravoohranenie-v-2027-godu-1-4-trln-rublei.html" TargetMode="External"/><Relationship Id="rId19" Type="http://schemas.openxmlformats.org/officeDocument/2006/relationships/hyperlink" Target="https://medvestnik.ru/directory/persons/Murashko-Mihail-Albertovich.html" TargetMode="External"/><Relationship Id="rId31" Type="http://schemas.openxmlformats.org/officeDocument/2006/relationships/hyperlink" Target="https://dzen.ru/a/asYdTs4BhR87SJ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vestnik.ru/content/news/v-federalnyi-budjet-na-2027-god-ne-zalojili-140-mlrd-rublei-na-protivoopuholevye-preparaty.html" TargetMode="External"/><Relationship Id="rId14" Type="http://schemas.openxmlformats.org/officeDocument/2006/relationships/hyperlink" Target="https://medvestnik.ru/content/news/rashody-na-fedproekt-po-borbe-s-onkozabolevaniyami-sokratilis-v-2026-godu-na-70.html" TargetMode="External"/><Relationship Id="rId22" Type="http://schemas.openxmlformats.org/officeDocument/2006/relationships/hyperlink" Target="https://medvestnik.ru/content/news/mihail-murashko-rasskazal-o-reshenii-problemy-bumajnoi-nagruzki-na-medrabotnikov.html" TargetMode="External"/><Relationship Id="rId27" Type="http://schemas.openxmlformats.org/officeDocument/2006/relationships/hyperlink" Target="https://dzen.ru/away?to=https%3A%2F%2Fmedvestnik.ru%2Fcontent%2Fnews%2Ffoms-raskryl-svejie-dannye-o-subektah-autsaiderah-po-onkonastorojennosti.html%2Fcontent%2Fnews%2Fschetnaya-palata-rf-zafiksirovala-sokrashenie-chisla-proshedshih-dispanserizaciu-rossiyan.html" TargetMode="External"/><Relationship Id="rId30" Type="http://schemas.openxmlformats.org/officeDocument/2006/relationships/hyperlink" Target="https://dzen.ru/away?to=https%3A%2F%2Fmedvestnik.ru%2Fcontent%2Fnews%2Ffoms-raskryl-svejie-dannye-o-subektah-autsaiderah-po-onkonastorojennosti.html%2Fcontent%2Fnews%2FStrahovshiki-ukazali-na-nedostatochnyi-uroven-onkonastorojennosti-vrachei-v-regionah.html" TargetMode="External"/><Relationship Id="rId35" Type="http://schemas.openxmlformats.org/officeDocument/2006/relationships/hyperlink" Target="https://dzen.ru/away?to=https%3A%2F%2Fmedvestnik.ru%2Fcontent%2Fnews%2Fprofsouz-soobshil-o-88-nom-ohvate-medorganizacii-sistemoi-nastavnichestva.html%2Fcontent%2Fnews%2Fminzdrav-rf-i-foms-nazvali-usloviya-dlya-vyplat-nastavnikam-iz-sredstv-oms.html" TargetMode="External"/><Relationship Id="rId8" Type="http://schemas.openxmlformats.org/officeDocument/2006/relationships/hyperlink" Target="https://medvestnik.ru/content/news/federalnyi-budjet-vydelit-na-zdravoohranenie-v-2027-godu-1-4-trln-rublei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dvestnik.ru/directory/persons/Bashankaev-Badma-Nikolaevich.html" TargetMode="External"/><Relationship Id="rId17" Type="http://schemas.openxmlformats.org/officeDocument/2006/relationships/hyperlink" Target="https://tass.ru/ekonomika/28199331" TargetMode="External"/><Relationship Id="rId25" Type="http://schemas.openxmlformats.org/officeDocument/2006/relationships/hyperlink" Target="https://medvestnik.ru/content/news/vypusk-iz-ordinatury-po-nekotorym-vostrebovannym-profilyam-ostalsya-na-urovne-2024-goda.html" TargetMode="External"/><Relationship Id="rId33" Type="http://schemas.openxmlformats.org/officeDocument/2006/relationships/hyperlink" Target="https://dzen.ru/away?to=https%3A%2F%2Fmedvestnik.ru%2Fcontent%2Fnews%2Fprofsouz-soobshil-o-88-nom-ohvate-medorganizacii-sistemoi-nastavnichestva.html%2Fcontent%2Fnews%2Fv-profsouze-rabotnikov-zdravoohraneniya-rf-nazvali-razmer-doplat-za-nastavnichestvo.html" TargetMode="External"/><Relationship Id="rId38" Type="http://schemas.openxmlformats.org/officeDocument/2006/relationships/hyperlink" Target="https://dzen.ru/away?to=https%3A%2F%2Fmedvestnik.ru%2Fcontent%2Fnews%2Fprofsouz-soobshil-o-88-nom-ohvate-medorganizacii-sistemoi-nastavnichestva.html%2Fcontent%2Fnews%2Fminzdrav-rf-rasprostranil-metodichku-s-voprosami-i-otvetami-o-nastavnichestv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3588</Words>
  <Characters>20454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LenaPC</dc:creator>
  <cp:keywords/>
  <dc:description/>
  <cp:lastModifiedBy>Microsoft Office User</cp:lastModifiedBy>
  <cp:revision>3</cp:revision>
  <dcterms:created xsi:type="dcterms:W3CDTF">2026-10-13T07:11:00Z</dcterms:created>
  <dcterms:modified xsi:type="dcterms:W3CDTF">2026-10-13T07:12:00Z</dcterms:modified>
</cp:coreProperties>
</file>